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India Startup Term Sheet Template (Priced Seed Round)</w:t>
      </w:r>
    </w:p>
    <w:p>
      <w:r>
        <w:rPr>
          <w:i/>
        </w:rPr>
        <w:t>This is an editable template for guidance only. It is not legal, tax, or financial advice. Review it with a qualified professional before you rely on it.</w:t>
      </w:r>
    </w:p>
    <w:p>
      <w:pPr>
        <w:pStyle w:val="Heading1"/>
      </w:pPr>
      <w:r>
        <w:t>1. Company and Instrument</w:t>
      </w:r>
    </w:p>
    <w:p>
      <w:r>
        <w:t>Company: [Company Pvt Ltd], incorporated under the Companies Act, 2013.</w:t>
      </w:r>
    </w:p>
    <w:p>
      <w:r>
        <w:t>Instrument: Compulsorily Convertible Preference Shares (CCPS), the standard priced-round instrument in India, convertible into equity shares on the terms below. Note: CCPS are treated as equity under FEMA, so foreign allotments are reported to the RBI in Form FC-GPR within 30 days.</w:t>
      </w:r>
    </w:p>
    <w:p>
      <w:pPr>
        <w:pStyle w:val="Heading1"/>
      </w:pPr>
      <w:r>
        <w:t>2. Investment and Valuation</w:t>
      </w:r>
    </w:p>
    <w:p>
      <w:r>
        <w:t>Amount: INR [ ] from [Investor].</w:t>
      </w:r>
    </w:p>
    <w:p>
      <w:r>
        <w:t>Pre-money valuation: INR [ ]. Post-money valuation: pre-money plus the new investment.</w:t>
      </w:r>
    </w:p>
    <w:p>
      <w:r>
        <w:t>Resulting shareholding: [ ] percent on a fully diluted basis, including the ESOP pool below.</w:t>
      </w:r>
    </w:p>
    <w:p>
      <w:pPr>
        <w:pStyle w:val="Heading1"/>
      </w:pPr>
      <w:r>
        <w:t>3. Liquidation Preference</w:t>
      </w:r>
    </w:p>
    <w:p>
      <w:r>
        <w:t>1x non-participating preference. On a liquidation or exit, the investor receives the higher of (a) their invested amount, or (b) the amount they would receive on an as-converted basis. Non-participating is the founder-friendly market norm; participating preferences are more investor-favourable and worth resisting.</w:t>
      </w:r>
    </w:p>
    <w:p>
      <w:pPr>
        <w:pStyle w:val="Heading1"/>
      </w:pPr>
      <w:r>
        <w:t>4. Anti-dilution</w:t>
      </w:r>
    </w:p>
    <w:p>
      <w:r>
        <w:t>Broad-based weighted-average anti-dilution, which is the market standard and far gentler on founders than a full-ratchet clause.</w:t>
      </w:r>
    </w:p>
    <w:p>
      <w:pPr>
        <w:pStyle w:val="Heading1"/>
      </w:pPr>
      <w:r>
        <w:t>5. ESOP Pool</w:t>
      </w:r>
    </w:p>
    <w:p>
      <w:r>
        <w:t>An employee stock option pool of [ ] percent of the fully diluted post-money capitalisation is created or topped up before the round. Where the pool sits (pre-money vs post-money) changes who bears the dilution, so negotiate it explicitly.</w:t>
      </w:r>
    </w:p>
    <w:p>
      <w:pPr>
        <w:pStyle w:val="Heading1"/>
      </w:pPr>
      <w:r>
        <w:t>6. Founder Vesting</w:t>
      </w:r>
    </w:p>
    <w:p>
      <w:r>
        <w:t>Founder shares vest over 4 years with a 1-year cliff. Reverse vesting protects the company if a founder leaves early.</w:t>
      </w:r>
    </w:p>
    <w:p>
      <w:pPr>
        <w:pStyle w:val="Heading1"/>
      </w:pPr>
      <w:r>
        <w:t>7. Board and Governance</w:t>
      </w:r>
    </w:p>
    <w:p>
      <w:r>
        <w:t>Board composition: [ ]. Reserved matters (investor consent items) such as new financing, budget approval, related-party transactions, and changes to charter documents are set out in the Shareholders Agreement (SHA).</w:t>
      </w:r>
    </w:p>
    <w:p>
      <w:pPr>
        <w:pStyle w:val="Heading1"/>
      </w:pPr>
      <w:r>
        <w:t>8. Other Terms</w:t>
      </w:r>
    </w:p>
    <w:p>
      <w:r>
        <w:t>Pro-rata rights, information rights, ROFR, tag-along and drag-along rights as detailed in the SHA and Share Subscription Agreement (SSA).</w:t>
      </w:r>
    </w:p>
    <w:p>
      <w:r>
        <w:t>Conditions to closing: satisfactory due diligence, board and shareholder approvals, and definitive documents (SSA and SHA).</w:t>
      </w:r>
    </w:p>
    <w:p>
      <w:r>
        <w:t>Exclusivity: [ ] days. Governing law: laws of India. This term sheet is non-binding except for the confidentiality, exclusivity, and governing-law clauses.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